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71E3" w:rsidRPr="009F19B4" w:rsidRDefault="007071E3" w:rsidP="009F19B4">
      <w:pPr>
        <w:widowControl/>
        <w:shd w:val="clear" w:color="auto" w:fill="FFFFFF"/>
        <w:spacing w:line="560" w:lineRule="exact"/>
        <w:jc w:val="center"/>
        <w:rPr>
          <w:rFonts w:ascii="方正小标宋简体" w:eastAsia="方正小标宋简体" w:hAnsi="微软雅黑" w:cs="宋体"/>
          <w:bCs/>
          <w:color w:val="000000" w:themeColor="text1"/>
          <w:kern w:val="0"/>
          <w:sz w:val="44"/>
          <w:szCs w:val="44"/>
        </w:rPr>
      </w:pPr>
      <w:bookmarkStart w:id="0" w:name="_GoBack"/>
      <w:bookmarkEnd w:id="0"/>
      <w:r w:rsidRPr="007071E3">
        <w:rPr>
          <w:rFonts w:ascii="方正小标宋简体" w:eastAsia="方正小标宋简体" w:hAnsi="微软雅黑" w:cs="宋体" w:hint="eastAsia"/>
          <w:bCs/>
          <w:color w:val="000000" w:themeColor="text1"/>
          <w:kern w:val="0"/>
          <w:sz w:val="44"/>
          <w:szCs w:val="44"/>
        </w:rPr>
        <w:t>高等学校预防与处理学术不端行为办法</w:t>
      </w:r>
    </w:p>
    <w:p w:rsidR="009F19B4" w:rsidRPr="00103747" w:rsidRDefault="009F19B4" w:rsidP="009F19B4">
      <w:pPr>
        <w:widowControl/>
        <w:shd w:val="clear" w:color="auto" w:fill="FFFFFF"/>
        <w:spacing w:line="560" w:lineRule="exact"/>
        <w:jc w:val="center"/>
        <w:rPr>
          <w:rFonts w:ascii="仿宋" w:eastAsia="仿宋" w:hAnsi="仿宋" w:cs="宋体"/>
          <w:b/>
          <w:bCs/>
          <w:color w:val="000000" w:themeColor="text1"/>
          <w:kern w:val="0"/>
          <w:sz w:val="28"/>
          <w:szCs w:val="28"/>
        </w:rPr>
      </w:pPr>
      <w:r w:rsidRPr="00103747">
        <w:rPr>
          <w:rFonts w:ascii="仿宋" w:eastAsia="仿宋" w:hAnsi="仿宋" w:cs="宋体" w:hint="eastAsia"/>
          <w:b/>
          <w:bCs/>
          <w:color w:val="000000" w:themeColor="text1"/>
          <w:kern w:val="0"/>
          <w:sz w:val="28"/>
          <w:szCs w:val="28"/>
        </w:rPr>
        <w:t>（中华人民共和国教育部令第40号）</w:t>
      </w:r>
    </w:p>
    <w:p w:rsidR="009F19B4" w:rsidRPr="009F19B4" w:rsidRDefault="009F19B4" w:rsidP="009F19B4">
      <w:pPr>
        <w:widowControl/>
        <w:shd w:val="clear" w:color="auto" w:fill="FFFFFF"/>
        <w:spacing w:line="560" w:lineRule="exact"/>
        <w:jc w:val="center"/>
        <w:rPr>
          <w:rFonts w:ascii="仿宋_GB2312" w:eastAsia="仿宋_GB2312" w:hAnsi="微软雅黑" w:cs="宋体"/>
          <w:b/>
          <w:bCs/>
          <w:color w:val="000000" w:themeColor="text1"/>
          <w:kern w:val="0"/>
          <w:sz w:val="32"/>
          <w:szCs w:val="32"/>
        </w:rPr>
      </w:pPr>
    </w:p>
    <w:p w:rsidR="007071E3" w:rsidRPr="007071E3" w:rsidRDefault="007071E3" w:rsidP="009F19B4">
      <w:pPr>
        <w:widowControl/>
        <w:shd w:val="clear" w:color="auto" w:fill="FFFFFF"/>
        <w:spacing w:line="560" w:lineRule="exact"/>
        <w:jc w:val="center"/>
        <w:rPr>
          <w:rFonts w:ascii="仿宋" w:eastAsia="仿宋" w:hAnsi="仿宋" w:cs="宋体"/>
          <w:color w:val="000000" w:themeColor="text1"/>
          <w:kern w:val="0"/>
          <w:sz w:val="32"/>
          <w:szCs w:val="32"/>
        </w:rPr>
      </w:pPr>
      <w:r w:rsidRPr="007071E3">
        <w:rPr>
          <w:rFonts w:ascii="仿宋" w:eastAsia="仿宋" w:hAnsi="仿宋" w:cs="宋体" w:hint="eastAsia"/>
          <w:b/>
          <w:bCs/>
          <w:color w:val="000000" w:themeColor="text1"/>
          <w:kern w:val="0"/>
          <w:sz w:val="32"/>
          <w:szCs w:val="32"/>
        </w:rPr>
        <w:t>第一章</w:t>
      </w:r>
      <w:r w:rsidRPr="009F19B4">
        <w:rPr>
          <w:rFonts w:ascii="仿宋" w:eastAsia="仿宋" w:hAnsi="仿宋" w:cs="宋体" w:hint="eastAsia"/>
          <w:b/>
          <w:bCs/>
          <w:color w:val="000000" w:themeColor="text1"/>
          <w:kern w:val="0"/>
          <w:sz w:val="32"/>
          <w:szCs w:val="32"/>
        </w:rPr>
        <w:t xml:space="preserve">  </w:t>
      </w:r>
      <w:r w:rsidRPr="007071E3">
        <w:rPr>
          <w:rFonts w:ascii="仿宋" w:eastAsia="仿宋" w:hAnsi="仿宋" w:cs="宋体" w:hint="eastAsia"/>
          <w:b/>
          <w:bCs/>
          <w:color w:val="000000" w:themeColor="text1"/>
          <w:kern w:val="0"/>
          <w:sz w:val="32"/>
          <w:szCs w:val="32"/>
        </w:rPr>
        <w:t>总则</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第一条</w:t>
      </w:r>
      <w:r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为有效预防和严肃查处高等学校发生的学术不端行为，维护学术诚信，促进学术创新和发展，根据《中华人民共和国高等教育法》《中华人民共和国科学技术进步法》《中华人民共和国学位条例》等法律法规，制定本办法。</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第二条</w:t>
      </w:r>
      <w:r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本办法所称学术不端行为是指高等学校及其教学科研人员、管理人员和学生，在科学研究及相关活动中发生的违反公认的学术准则、违背学术诚信的行为。</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第三条</w:t>
      </w:r>
      <w:r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高等学校预防与处理学术不端行为应坚持预防为主、教育与惩戒结合的原则。</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第四条</w:t>
      </w:r>
      <w:r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教育部、国务院有关部门和省级教育部门负责制定高等学校学风建设的宏观政策，指导和监督高等学校学风建设工作，建立健全对所主管高等学校重大学术不端行为的处理机制，建立高校学术不端行为的通报与相关信息公开制度。</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第五条</w:t>
      </w:r>
      <w:r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是学术不端行为预防与处理的主体。高等学校应当建设集教育、预防、监督、惩治于一体的学术诚信体系，建立由主要负责人领导的学风建设工作机制，明确职责分工；依据本办法完善本校学术不端行为预防与处理的规则与程序。</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lastRenderedPageBreak/>
        <w:t>高等学校应当充分发挥学术委员会在学风建设方面的作用，支持和保障学术委员会依法履行职责，调查、认定学术不端行为。</w:t>
      </w:r>
    </w:p>
    <w:p w:rsidR="007071E3" w:rsidRPr="007071E3" w:rsidRDefault="007071E3" w:rsidP="009F19B4">
      <w:pPr>
        <w:widowControl/>
        <w:shd w:val="clear" w:color="auto" w:fill="FFFFFF"/>
        <w:spacing w:line="560" w:lineRule="exact"/>
        <w:jc w:val="center"/>
        <w:rPr>
          <w:rFonts w:ascii="仿宋" w:eastAsia="仿宋" w:hAnsi="仿宋" w:cs="宋体"/>
          <w:color w:val="000000" w:themeColor="text1"/>
          <w:kern w:val="0"/>
          <w:sz w:val="32"/>
          <w:szCs w:val="32"/>
        </w:rPr>
      </w:pPr>
      <w:r w:rsidRPr="007071E3">
        <w:rPr>
          <w:rFonts w:ascii="仿宋" w:eastAsia="仿宋" w:hAnsi="仿宋" w:cs="宋体" w:hint="eastAsia"/>
          <w:b/>
          <w:bCs/>
          <w:color w:val="000000" w:themeColor="text1"/>
          <w:kern w:val="0"/>
          <w:sz w:val="32"/>
          <w:szCs w:val="32"/>
        </w:rPr>
        <w:t>第二章</w:t>
      </w:r>
      <w:r w:rsidRPr="009F19B4">
        <w:rPr>
          <w:rFonts w:ascii="仿宋" w:eastAsia="仿宋" w:hAnsi="仿宋" w:cs="宋体" w:hint="eastAsia"/>
          <w:b/>
          <w:bCs/>
          <w:color w:val="000000" w:themeColor="text1"/>
          <w:kern w:val="0"/>
          <w:sz w:val="32"/>
          <w:szCs w:val="32"/>
        </w:rPr>
        <w:t xml:space="preserve">  </w:t>
      </w:r>
      <w:r w:rsidRPr="007071E3">
        <w:rPr>
          <w:rFonts w:ascii="仿宋" w:eastAsia="仿宋" w:hAnsi="仿宋" w:cs="宋体" w:hint="eastAsia"/>
          <w:b/>
          <w:bCs/>
          <w:color w:val="000000" w:themeColor="text1"/>
          <w:kern w:val="0"/>
          <w:sz w:val="32"/>
          <w:szCs w:val="32"/>
        </w:rPr>
        <w:t>教育与预防</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第六条</w:t>
      </w:r>
      <w:r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高等学校应当完善学术治理体系，建立科学公正的学术评价和学术发展制度，营造鼓励创新、宽容失败、不骄不躁、风清气正的学术环境。</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高等学校教学科研人员、管理人员、学生在科研活动中应当遵循实事求是的科学精神和严谨认真的治学态度，恪守学术诚信，遵循学术准则，尊重和保护他人知识产权等合法权益。</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第七条</w:t>
      </w:r>
      <w:r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高等学校应当将学术规范和学术诚信教育，作为教师培训和学生教育的必要内容，以多种形式开展教育、培训。</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教师对其指导的学生应当进行学术规范、学术诚信教育和指导，对学生公开发表论文、研究和撰写学位论文是否符合学术规范、学术诚信要求，进行必要的检查与审核。</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第八条</w:t>
      </w:r>
      <w:r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高等学校应当利用信息技术等手段，建立对学术成果、学位论文所涉及内容的知识产权查询制度，健全学术规范监督机制。</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第九条</w:t>
      </w:r>
      <w:r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高等学校应当建立健全科研管理制度，在合理期限内保存研究的原始数据和资料，保证科研档案和数据的真实性、完整性。</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lastRenderedPageBreak/>
        <w:t>高等学校应当完善科研项目评审、学术成果鉴定程序，结合学科特点，对非涉密的科研项目申报材料、学术成果的基本信息以适当方式进行公开。</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第十条</w:t>
      </w:r>
      <w:r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高等学校应当遵循学术研究规律，建立科学的学术水平考核评价标准、办法，引导教学科研人员和学生潜心研究，形成具有创新性、独创性的研究成果。</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第十一条</w:t>
      </w:r>
      <w:r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高等学校应当建立教学科研人员学术诚信记录，在年度考核、职称评定、岗位聘用、课题立项、人才计划、评优奖励中强化学术诚信考核。</w:t>
      </w:r>
    </w:p>
    <w:p w:rsidR="007071E3" w:rsidRPr="007071E3" w:rsidRDefault="007071E3" w:rsidP="009F19B4">
      <w:pPr>
        <w:widowControl/>
        <w:shd w:val="clear" w:color="auto" w:fill="FFFFFF"/>
        <w:spacing w:line="560" w:lineRule="exact"/>
        <w:jc w:val="center"/>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b/>
          <w:bCs/>
          <w:color w:val="000000" w:themeColor="text1"/>
          <w:kern w:val="0"/>
          <w:sz w:val="32"/>
          <w:szCs w:val="32"/>
        </w:rPr>
        <w:t>第三章　受理与调查</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第十二条</w:t>
      </w:r>
      <w:r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应当明确具体部门，负责受理社会组织、个人对本校教学科研人员、管理人员及学生学术不端行为的举报；有条件的，可以设立专门岗位或者指定专人，负责学术诚信和不端行为举报相关事宜的咨询、受理、调查等工作。</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第十三条</w:t>
      </w:r>
      <w:r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对学术不端行为的举报，一般应当以书面方式实名提出，并符合下列条件：</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（一）有明确的举报对象；</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（二）有实施学术不端行为的事实；</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（三）有客观的证据材料或者查证线索。</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以匿名方式举报，但事实清楚、证据充分或者线索明确的，高等学校应当视情况予以受理。</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第十四条</w:t>
      </w:r>
      <w:r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高等学校对媒体公开报道、其他学术机构或者社会组织主动披露的涉及本校人员的学术不端行为，应当依据职权，主动进行调查处理。</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第十五条</w:t>
      </w:r>
      <w:r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高等学校受理机构认为举报材料符合条件的，应当及时作出受理决定，并通知举报人。不予受理的，应当书面说明理由。</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第十六条</w:t>
      </w:r>
      <w:r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学术不端行为举报受理后，应当交由学校学术委员会按照相关程序组织开展调查。</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学术委员会可委托有关专家就举报内容的合理性、调查的可能性等进行初步审查，并作出是否进入正式调查的决定。</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决定不进入正式调查的，应当告知举报人。举报人如有新的证据，可以提出异议。异议成立的，应当进入正式调查。</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第十七条</w:t>
      </w:r>
      <w:r w:rsid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高等学校学术委员会决定进入正式调查的，应当通知被举报人。</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被调查行为涉及资助项目的，可以同时通知项目资助方。</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第十八条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高等学校学术委员会应当组成调查组，负责对被举报行为进行调查；但对事实清楚、证据确凿、情节简单的被举报行为，也可以采用简易调查程序，具体办法由学术委员会确定。</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调查组应当不少于３人，必要时应当包括学校纪检、监察机构指派的工作人员，可以邀请同行专家参与调查或者以咨询等方式提供学术判断。</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被调查行为涉及资助项目的，可以邀请项目资助方委派相关专业人员参与调查组。</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第十九条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调查组的组成人员与举报人或者被举报人有合作研究、亲属或者导师学生等直接利害关系的，应当回避。</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第二十条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调查可通过查询资料、现场查看、实验检验、询问证人、询问举报人和被举报人等方式进行。调查组认为有必要的，可以委托无利害关系的专家或者第三方专业机构就有关事项进行独立调查或者验证。</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第二十一条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调查组在调查过程中，应当认真听取被举报人的陈述、申辩，对有关事实、理由和证据进行核实；认为必要的，可以采取听证方式。</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第二十二条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有关单位和个人应当为调查组开展工作提供必要的便利和协助。</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举报人、被举报人、证人及其他有关人员应当如实回答询问，配合调查，提供相关证据材料，不得隐瞒或者提供虚假信息。</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第二十三条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调查过程中，出现知识产权等争议引发的法律纠纷的，且该争议可能影响行为定性的，应当中止调查，待争议解决后重启调查。</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第二十四条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调查组应当在查清事实的基础上形成调查报告。调查报告应当包括学术不端行为责任人的确认、调查过程、事实认定及理由、调查结论等。</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学术不端行为由多人集体做出的，调查报告中应当区别各责任人在行为中所发挥的作用。</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第二十五条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接触举报材料和参与调查处理的人员，不得向无关人员透露举报人、被举报人个人信息及调查情况。</w:t>
      </w:r>
    </w:p>
    <w:p w:rsidR="007071E3" w:rsidRPr="007071E3" w:rsidRDefault="007071E3" w:rsidP="009F19B4">
      <w:pPr>
        <w:widowControl/>
        <w:shd w:val="clear" w:color="auto" w:fill="FFFFFF"/>
        <w:spacing w:line="560" w:lineRule="exact"/>
        <w:jc w:val="center"/>
        <w:rPr>
          <w:rFonts w:ascii="仿宋" w:eastAsia="仿宋" w:hAnsi="仿宋" w:cs="宋体"/>
          <w:color w:val="000000" w:themeColor="text1"/>
          <w:kern w:val="0"/>
          <w:sz w:val="32"/>
          <w:szCs w:val="32"/>
        </w:rPr>
      </w:pPr>
      <w:r w:rsidRPr="007071E3">
        <w:rPr>
          <w:rFonts w:ascii="仿宋" w:eastAsia="仿宋" w:hAnsi="仿宋" w:cs="宋体" w:hint="eastAsia"/>
          <w:b/>
          <w:bCs/>
          <w:color w:val="000000" w:themeColor="text1"/>
          <w:kern w:val="0"/>
          <w:sz w:val="32"/>
          <w:szCs w:val="32"/>
        </w:rPr>
        <w:t>第四章</w:t>
      </w:r>
      <w:r w:rsidR="009F19B4" w:rsidRPr="009F19B4">
        <w:rPr>
          <w:rFonts w:ascii="仿宋" w:eastAsia="仿宋" w:hAnsi="仿宋" w:cs="宋体" w:hint="eastAsia"/>
          <w:b/>
          <w:bCs/>
          <w:color w:val="000000" w:themeColor="text1"/>
          <w:kern w:val="0"/>
          <w:sz w:val="32"/>
          <w:szCs w:val="32"/>
        </w:rPr>
        <w:t xml:space="preserve">  </w:t>
      </w:r>
      <w:r w:rsidRPr="007071E3">
        <w:rPr>
          <w:rFonts w:ascii="仿宋" w:eastAsia="仿宋" w:hAnsi="仿宋" w:cs="宋体" w:hint="eastAsia"/>
          <w:b/>
          <w:bCs/>
          <w:color w:val="000000" w:themeColor="text1"/>
          <w:kern w:val="0"/>
          <w:sz w:val="32"/>
          <w:szCs w:val="32"/>
        </w:rPr>
        <w:t>认定</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第二十六条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高等学校学术委员会应当对调查组提交的调查报告进行审查；必要的，应当听取调查组的汇报。</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学术委员会可以召开全体会议或者授权专门委员会对被调查行为是否构成学术不端行为以及行为的性质、情节等作出认定结论，并依职权作出处理或建议学校作出相应处理。</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第二十七条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经调查，确认被举报人在科学研究及相关活动中有下列行为之一的，应当认定为构成学术不端行为：</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（一）剽窃、抄袭、侵占他人学术成果；</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（二）篡改他人研究成果；</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（三）伪造科研数据、资料、文献、注释，或者捏造事实、编造虚假研究成果；</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（四）未参加研究或创作而在研究成果、学术论文上署名，未经他人许可而不当使用他人署名，虚构合作者共同署名，或者多人共同完成研究而在成果中未注明他人工作、贡献；</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（五）在申报课题、成果、奖励和职务评审评定、申请学位等过程中提供虚假学术信息；</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（六）买卖论文、由他人代写或者为他人代写论文；</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（七）其他根据高等学校或者有关学术组织、相关科研管理机构制定的规则，属于学术不端的行为。</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第二十八条</w:t>
      </w:r>
      <w:r w:rsid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有学术不端行为且有下列情形之一的，应当认定为情节严重：</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（一）造成恶劣影响的；</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（二）存在利益输送或者利益交换的；</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（三）对举报人进行打击报复的；</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（四）有组织实施学术不端行为的；</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（五）多次实施学术不端行为的；</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（六）其他造成严重后果或者恶劣影响的。</w:t>
      </w:r>
    </w:p>
    <w:p w:rsidR="007071E3" w:rsidRPr="007071E3" w:rsidRDefault="007071E3" w:rsidP="009F19B4">
      <w:pPr>
        <w:widowControl/>
        <w:shd w:val="clear" w:color="auto" w:fill="FFFFFF"/>
        <w:spacing w:line="560" w:lineRule="exact"/>
        <w:jc w:val="center"/>
        <w:rPr>
          <w:rFonts w:ascii="仿宋" w:eastAsia="仿宋" w:hAnsi="仿宋" w:cs="宋体"/>
          <w:color w:val="000000" w:themeColor="text1"/>
          <w:kern w:val="0"/>
          <w:sz w:val="32"/>
          <w:szCs w:val="32"/>
        </w:rPr>
      </w:pPr>
      <w:r w:rsidRPr="007071E3">
        <w:rPr>
          <w:rFonts w:ascii="仿宋" w:eastAsia="仿宋" w:hAnsi="仿宋" w:cs="宋体" w:hint="eastAsia"/>
          <w:b/>
          <w:bCs/>
          <w:color w:val="000000" w:themeColor="text1"/>
          <w:kern w:val="0"/>
          <w:sz w:val="32"/>
          <w:szCs w:val="32"/>
        </w:rPr>
        <w:t>第五章</w:t>
      </w:r>
      <w:r w:rsidR="009F19B4" w:rsidRPr="009F19B4">
        <w:rPr>
          <w:rFonts w:ascii="仿宋" w:eastAsia="仿宋" w:hAnsi="仿宋" w:cs="宋体" w:hint="eastAsia"/>
          <w:b/>
          <w:bCs/>
          <w:color w:val="000000" w:themeColor="text1"/>
          <w:kern w:val="0"/>
          <w:sz w:val="32"/>
          <w:szCs w:val="32"/>
        </w:rPr>
        <w:t xml:space="preserve">  </w:t>
      </w:r>
      <w:r w:rsidRPr="007071E3">
        <w:rPr>
          <w:rFonts w:ascii="仿宋" w:eastAsia="仿宋" w:hAnsi="仿宋" w:cs="宋体" w:hint="eastAsia"/>
          <w:b/>
          <w:bCs/>
          <w:color w:val="000000" w:themeColor="text1"/>
          <w:kern w:val="0"/>
          <w:sz w:val="32"/>
          <w:szCs w:val="32"/>
        </w:rPr>
        <w:t>处理</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第二十九条</w:t>
      </w:r>
      <w:r w:rsid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高等学校应当根据学术委员会的认定结论和处理建议，结合行为性质和情节轻重，依职权和规定程序对学术不端行为责任人作出如下处理：</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（一）通报批评；</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（二）终止或者撤销相关的科研项目，并在一定期限内取消申请资格；</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（三）撤销学术奖励或者荣誉称号；</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（四）辞退或解聘；</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（五）法律、法规及规章规定的其他处理措施。</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同时，可以依照有关规定，给予警告、记过、降低岗位等级或者撤职、开除等处分。</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学术不端行为责任人获得有关部门、机构设立的科研项目、学术奖励或者荣誉称号等利益的，学校应当同时向有关主管部门提出处理建议。</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学生有学术不端行为的，还应当按照学生管理的相关规定，给予相应的学籍处分。</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学术不端行为与获得学位有直接关联的，由学位授予单位作暂缓授予学位、不授予学位或者依法撤销学位等处理。</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第三十条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高等学校对学术不端行为作出处理决定，应当制作处理决定书，载明以下内容：</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（一）责任人的基本情况；</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（二）经查证的学术不端行为事实；</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（三）处理意见和依据；</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（四）救济途径和期限；</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（五）其他必要内容。</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第三十一条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经调查认定，不构成学术不端行为的，根据被举报人申请，高等学校应当通过一定方式为其消除影响、恢复名誉等。</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调查处理过程中，发现举报人存在捏造事实、诬告陷害等行为的，应当认定为举报不实或者虚假举报，举报人应当承担相应责任。属于本单位人员的，高等学校应当按照有关规定给予处理；不属于本单位人员的，应通报其所在单位，并提出处理建议。</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第三十二条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参与举报受理、调查和处理的人员违反保密等规定，造成不良影响的，按照有关规定给予处分或其他处理。</w:t>
      </w:r>
    </w:p>
    <w:p w:rsidR="007071E3" w:rsidRPr="007071E3" w:rsidRDefault="007071E3" w:rsidP="009F19B4">
      <w:pPr>
        <w:widowControl/>
        <w:shd w:val="clear" w:color="auto" w:fill="FFFFFF"/>
        <w:spacing w:line="560" w:lineRule="exact"/>
        <w:jc w:val="center"/>
        <w:rPr>
          <w:rFonts w:ascii="仿宋" w:eastAsia="仿宋" w:hAnsi="仿宋" w:cs="宋体"/>
          <w:color w:val="000000" w:themeColor="text1"/>
          <w:kern w:val="0"/>
          <w:sz w:val="32"/>
          <w:szCs w:val="32"/>
        </w:rPr>
      </w:pPr>
      <w:r w:rsidRPr="007071E3">
        <w:rPr>
          <w:rFonts w:ascii="仿宋" w:eastAsia="仿宋" w:hAnsi="仿宋" w:cs="宋体" w:hint="eastAsia"/>
          <w:b/>
          <w:bCs/>
          <w:color w:val="000000" w:themeColor="text1"/>
          <w:kern w:val="0"/>
          <w:sz w:val="32"/>
          <w:szCs w:val="32"/>
        </w:rPr>
        <w:t>第六章</w:t>
      </w:r>
      <w:r w:rsidR="009F19B4" w:rsidRPr="009F19B4">
        <w:rPr>
          <w:rFonts w:ascii="仿宋" w:eastAsia="仿宋" w:hAnsi="仿宋" w:cs="宋体" w:hint="eastAsia"/>
          <w:b/>
          <w:bCs/>
          <w:color w:val="000000" w:themeColor="text1"/>
          <w:kern w:val="0"/>
          <w:sz w:val="32"/>
          <w:szCs w:val="32"/>
        </w:rPr>
        <w:t xml:space="preserve">  </w:t>
      </w:r>
      <w:r w:rsidRPr="007071E3">
        <w:rPr>
          <w:rFonts w:ascii="仿宋" w:eastAsia="仿宋" w:hAnsi="仿宋" w:cs="宋体" w:hint="eastAsia"/>
          <w:b/>
          <w:bCs/>
          <w:color w:val="000000" w:themeColor="text1"/>
          <w:kern w:val="0"/>
          <w:sz w:val="32"/>
          <w:szCs w:val="32"/>
        </w:rPr>
        <w:t>复核</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第三十三条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举报人或者学术不端行为责任人对处理决定不服的，可以在收到处理决定之日起30日内，以书面形式向高等学校提出异议或者复核申请。</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异议和复核不影响处理决定的执行。</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第三十四条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高等学校收到异议或者复核申请后，应当交由学术委员会组织讨论，并于15日内作出是否受理的决定。</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决定受理的，学校或者学术委员会可以另行组织调查组或者委托第三方机构进行调查；决定不予受理的，应当书面通知当事人。</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第三十五条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当事人对复核决定不服，仍以同一事实和理由提出异议或者申请复核的，不予受理；向有关主管部门提出申诉的，按照相关规定执行。</w:t>
      </w:r>
    </w:p>
    <w:p w:rsidR="007071E3" w:rsidRPr="007071E3" w:rsidRDefault="007071E3" w:rsidP="009F19B4">
      <w:pPr>
        <w:widowControl/>
        <w:shd w:val="clear" w:color="auto" w:fill="FFFFFF"/>
        <w:spacing w:line="560" w:lineRule="exact"/>
        <w:jc w:val="center"/>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b/>
          <w:bCs/>
          <w:color w:val="000000" w:themeColor="text1"/>
          <w:kern w:val="0"/>
          <w:sz w:val="32"/>
          <w:szCs w:val="32"/>
        </w:rPr>
        <w:t>第七章　监督</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第三十六条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高等学校应当按年度发布学风建设工作报告，并向社会公开，接受社会监督。</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第三十七条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高等学校处理学术不端行为推诿塞责、隐瞒包庇、查处不力的，主管部门可以直接组织或者委托相关机构查处。</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第三十八条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高等学校对本校发生的学术不端行为，未能及时查处并做出公正结论，造成恶劣影响的，主管部门应当追究相关领导的责任，并进行通报。</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高等学校为获得相关利益，有组织实施学术不端行为的，主管部门调查确认后，应当撤销高等学校由此获得的相关权利、项目以及其他利益，并追究学校主要负责人、直接负责人的责任。</w:t>
      </w:r>
    </w:p>
    <w:p w:rsidR="007071E3" w:rsidRPr="007071E3" w:rsidRDefault="007071E3" w:rsidP="009F19B4">
      <w:pPr>
        <w:widowControl/>
        <w:shd w:val="clear" w:color="auto" w:fill="FFFFFF"/>
        <w:spacing w:line="560" w:lineRule="exact"/>
        <w:jc w:val="center"/>
        <w:rPr>
          <w:rFonts w:ascii="仿宋" w:eastAsia="仿宋" w:hAnsi="仿宋" w:cs="宋体"/>
          <w:color w:val="000000" w:themeColor="text1"/>
          <w:kern w:val="0"/>
          <w:sz w:val="32"/>
          <w:szCs w:val="32"/>
        </w:rPr>
      </w:pPr>
      <w:r w:rsidRPr="007071E3">
        <w:rPr>
          <w:rFonts w:ascii="仿宋" w:eastAsia="仿宋" w:hAnsi="仿宋" w:cs="宋体" w:hint="eastAsia"/>
          <w:b/>
          <w:bCs/>
          <w:color w:val="000000" w:themeColor="text1"/>
          <w:kern w:val="0"/>
          <w:sz w:val="32"/>
          <w:szCs w:val="32"/>
        </w:rPr>
        <w:t>第八章</w:t>
      </w:r>
      <w:r w:rsidR="009F19B4" w:rsidRPr="009F19B4">
        <w:rPr>
          <w:rFonts w:ascii="仿宋" w:eastAsia="仿宋" w:hAnsi="仿宋" w:cs="宋体" w:hint="eastAsia"/>
          <w:b/>
          <w:bCs/>
          <w:color w:val="000000" w:themeColor="text1"/>
          <w:kern w:val="0"/>
          <w:sz w:val="32"/>
          <w:szCs w:val="32"/>
        </w:rPr>
        <w:t xml:space="preserve">  </w:t>
      </w:r>
      <w:r w:rsidRPr="007071E3">
        <w:rPr>
          <w:rFonts w:ascii="仿宋" w:eastAsia="仿宋" w:hAnsi="仿宋" w:cs="宋体" w:hint="eastAsia"/>
          <w:b/>
          <w:bCs/>
          <w:color w:val="000000" w:themeColor="text1"/>
          <w:kern w:val="0"/>
          <w:sz w:val="32"/>
          <w:szCs w:val="32"/>
        </w:rPr>
        <w:t>附则</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第三十九条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高等学校应当根据本办法，结合学校实际和学科特点，制定本校学术不端行为查处规则及处理办法，明确各类学术不端行为的惩处标准。有关规则应当经学校学术委员会和教职工代表大会讨论通过。</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第四十条</w:t>
      </w:r>
      <w:r w:rsidR="009F19B4" w:rsidRP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高等学校主管部门对直接受理的学术不端案件，可自行组织调查组或者指定、委托高等学校、有关机构组织调查、认定。对学术不端行为责任人的处理，根据本办法及国家有关规定执行。</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教育系统所属科研机构及其他单位有关人员学术不端行为的调查与处理，可参照本办法执行。</w:t>
      </w:r>
    </w:p>
    <w:p w:rsidR="007071E3" w:rsidRPr="007071E3" w:rsidRDefault="007071E3" w:rsidP="009F19B4">
      <w:pPr>
        <w:widowControl/>
        <w:shd w:val="clear" w:color="auto" w:fill="FFFFFF"/>
        <w:spacing w:line="560" w:lineRule="exact"/>
        <w:ind w:firstLineChars="200" w:firstLine="640"/>
        <w:jc w:val="left"/>
        <w:rPr>
          <w:rFonts w:ascii="仿宋" w:eastAsia="仿宋" w:hAnsi="仿宋" w:cs="宋体"/>
          <w:color w:val="000000" w:themeColor="text1"/>
          <w:kern w:val="0"/>
          <w:sz w:val="32"/>
          <w:szCs w:val="32"/>
        </w:rPr>
      </w:pPr>
      <w:r w:rsidRPr="007071E3">
        <w:rPr>
          <w:rFonts w:ascii="仿宋" w:eastAsia="仿宋" w:hAnsi="仿宋" w:cs="宋体" w:hint="eastAsia"/>
          <w:color w:val="000000" w:themeColor="text1"/>
          <w:kern w:val="0"/>
          <w:sz w:val="32"/>
          <w:szCs w:val="32"/>
        </w:rPr>
        <w:t>第四十一条</w:t>
      </w:r>
      <w:r w:rsidR="009F19B4">
        <w:rPr>
          <w:rFonts w:ascii="仿宋" w:eastAsia="仿宋" w:hAnsi="仿宋" w:cs="宋体" w:hint="eastAsia"/>
          <w:color w:val="000000" w:themeColor="text1"/>
          <w:kern w:val="0"/>
          <w:sz w:val="32"/>
          <w:szCs w:val="32"/>
        </w:rPr>
        <w:t xml:space="preserve"> </w:t>
      </w:r>
      <w:r w:rsidRPr="007071E3">
        <w:rPr>
          <w:rFonts w:ascii="仿宋" w:eastAsia="仿宋" w:hAnsi="仿宋" w:cs="宋体" w:hint="eastAsia"/>
          <w:color w:val="000000" w:themeColor="text1"/>
          <w:kern w:val="0"/>
          <w:sz w:val="32"/>
          <w:szCs w:val="32"/>
        </w:rPr>
        <w:t>本办法自2016年9月1日起施行。</w:t>
      </w:r>
    </w:p>
    <w:p w:rsidR="0026678D" w:rsidRPr="009F19B4" w:rsidRDefault="007071E3" w:rsidP="009F19B4">
      <w:pPr>
        <w:widowControl/>
        <w:shd w:val="clear" w:color="auto" w:fill="FFFFFF"/>
        <w:spacing w:line="560" w:lineRule="exact"/>
        <w:ind w:firstLineChars="200" w:firstLine="640"/>
        <w:jc w:val="left"/>
        <w:rPr>
          <w:rFonts w:ascii="仿宋_GB2312" w:eastAsia="仿宋_GB2312"/>
          <w:color w:val="000000" w:themeColor="text1"/>
          <w:sz w:val="32"/>
          <w:szCs w:val="32"/>
        </w:rPr>
      </w:pPr>
      <w:r w:rsidRPr="007071E3">
        <w:rPr>
          <w:rFonts w:ascii="仿宋" w:eastAsia="仿宋" w:hAnsi="仿宋" w:cs="宋体" w:hint="eastAsia"/>
          <w:color w:val="000000" w:themeColor="text1"/>
          <w:kern w:val="0"/>
          <w:sz w:val="32"/>
          <w:szCs w:val="32"/>
        </w:rPr>
        <w:t>教育部此前发布的有关规章、文件中的相关规定与本办法不一致的，以本办法为准。</w:t>
      </w:r>
    </w:p>
    <w:sectPr w:rsidR="0026678D" w:rsidRPr="009F19B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0271" w:rsidRDefault="00AC0271" w:rsidP="007071E3">
      <w:r>
        <w:separator/>
      </w:r>
    </w:p>
  </w:endnote>
  <w:endnote w:type="continuationSeparator" w:id="0">
    <w:p w:rsidR="00AC0271" w:rsidRDefault="00AC0271" w:rsidP="00707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微软雅黑"/>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0271" w:rsidRDefault="00AC0271" w:rsidP="007071E3">
      <w:r>
        <w:separator/>
      </w:r>
    </w:p>
  </w:footnote>
  <w:footnote w:type="continuationSeparator" w:id="0">
    <w:p w:rsidR="00AC0271" w:rsidRDefault="00AC0271" w:rsidP="007071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bordersDoNotSurroundHeader/>
  <w:bordersDoNotSurroundFooter/>
  <w:revisionView w:inkAnnotations="0"/>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AFB"/>
    <w:rsid w:val="00103747"/>
    <w:rsid w:val="001B229E"/>
    <w:rsid w:val="001F7043"/>
    <w:rsid w:val="0026678D"/>
    <w:rsid w:val="007071E3"/>
    <w:rsid w:val="00731E54"/>
    <w:rsid w:val="009F19B4"/>
    <w:rsid w:val="00A92AFB"/>
    <w:rsid w:val="00AC0271"/>
    <w:rsid w:val="00C32B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89C810DD-B0FD-4DEF-8116-8DBC7CD48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071E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071E3"/>
    <w:rPr>
      <w:sz w:val="18"/>
      <w:szCs w:val="18"/>
    </w:rPr>
  </w:style>
  <w:style w:type="paragraph" w:styleId="a4">
    <w:name w:val="footer"/>
    <w:basedOn w:val="a"/>
    <w:link w:val="Char0"/>
    <w:uiPriority w:val="99"/>
    <w:unhideWhenUsed/>
    <w:rsid w:val="007071E3"/>
    <w:pPr>
      <w:tabs>
        <w:tab w:val="center" w:pos="4153"/>
        <w:tab w:val="right" w:pos="8306"/>
      </w:tabs>
      <w:snapToGrid w:val="0"/>
      <w:jc w:val="left"/>
    </w:pPr>
    <w:rPr>
      <w:sz w:val="18"/>
      <w:szCs w:val="18"/>
    </w:rPr>
  </w:style>
  <w:style w:type="character" w:customStyle="1" w:styleId="Char0">
    <w:name w:val="页脚 Char"/>
    <w:basedOn w:val="a0"/>
    <w:link w:val="a4"/>
    <w:uiPriority w:val="99"/>
    <w:rsid w:val="007071E3"/>
    <w:rPr>
      <w:sz w:val="18"/>
      <w:szCs w:val="18"/>
    </w:rPr>
  </w:style>
  <w:style w:type="paragraph" w:styleId="a5">
    <w:name w:val="Balloon Text"/>
    <w:basedOn w:val="a"/>
    <w:link w:val="Char1"/>
    <w:uiPriority w:val="99"/>
    <w:semiHidden/>
    <w:unhideWhenUsed/>
    <w:rsid w:val="001F7043"/>
    <w:rPr>
      <w:sz w:val="18"/>
      <w:szCs w:val="18"/>
    </w:rPr>
  </w:style>
  <w:style w:type="character" w:customStyle="1" w:styleId="Char1">
    <w:name w:val="批注框文本 Char"/>
    <w:basedOn w:val="a0"/>
    <w:link w:val="a5"/>
    <w:uiPriority w:val="99"/>
    <w:semiHidden/>
    <w:rsid w:val="001F704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9234">
      <w:bodyDiv w:val="1"/>
      <w:marLeft w:val="0"/>
      <w:marRight w:val="0"/>
      <w:marTop w:val="0"/>
      <w:marBottom w:val="0"/>
      <w:divBdr>
        <w:top w:val="none" w:sz="0" w:space="0" w:color="auto"/>
        <w:left w:val="none" w:sz="0" w:space="0" w:color="auto"/>
        <w:bottom w:val="none" w:sz="0" w:space="0" w:color="auto"/>
        <w:right w:val="none" w:sz="0" w:space="0" w:color="auto"/>
      </w:divBdr>
      <w:divsChild>
        <w:div w:id="692027327">
          <w:marLeft w:val="0"/>
          <w:marRight w:val="0"/>
          <w:marTop w:val="0"/>
          <w:marBottom w:val="0"/>
          <w:divBdr>
            <w:top w:val="none" w:sz="0" w:space="0" w:color="auto"/>
            <w:left w:val="none" w:sz="0" w:space="0" w:color="auto"/>
            <w:bottom w:val="none" w:sz="0" w:space="0" w:color="auto"/>
            <w:right w:val="none" w:sz="0" w:space="0" w:color="auto"/>
          </w:divBdr>
          <w:divsChild>
            <w:div w:id="480662194">
              <w:marLeft w:val="0"/>
              <w:marRight w:val="0"/>
              <w:marTop w:val="0"/>
              <w:marBottom w:val="0"/>
              <w:divBdr>
                <w:top w:val="single" w:sz="6" w:space="31" w:color="BCBCBC"/>
                <w:left w:val="single" w:sz="6" w:space="31" w:color="BCBCBC"/>
                <w:bottom w:val="single" w:sz="6" w:space="15" w:color="BCBCBC"/>
                <w:right w:val="single" w:sz="6" w:space="31" w:color="BCBCBC"/>
              </w:divBdr>
              <w:divsChild>
                <w:div w:id="1130316889">
                  <w:marLeft w:val="0"/>
                  <w:marRight w:val="0"/>
                  <w:marTop w:val="0"/>
                  <w:marBottom w:val="0"/>
                  <w:divBdr>
                    <w:top w:val="none" w:sz="0" w:space="0" w:color="auto"/>
                    <w:left w:val="none" w:sz="0" w:space="0" w:color="auto"/>
                    <w:bottom w:val="none" w:sz="0" w:space="0" w:color="auto"/>
                    <w:right w:val="none" w:sz="0" w:space="0" w:color="auto"/>
                  </w:divBdr>
                  <w:divsChild>
                    <w:div w:id="1018199527">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 w:id="144245300">
      <w:bodyDiv w:val="1"/>
      <w:marLeft w:val="0"/>
      <w:marRight w:val="0"/>
      <w:marTop w:val="0"/>
      <w:marBottom w:val="0"/>
      <w:divBdr>
        <w:top w:val="none" w:sz="0" w:space="0" w:color="auto"/>
        <w:left w:val="none" w:sz="0" w:space="0" w:color="auto"/>
        <w:bottom w:val="none" w:sz="0" w:space="0" w:color="auto"/>
        <w:right w:val="none" w:sz="0" w:space="0" w:color="auto"/>
      </w:divBdr>
      <w:divsChild>
        <w:div w:id="1157460106">
          <w:marLeft w:val="0"/>
          <w:marRight w:val="0"/>
          <w:marTop w:val="0"/>
          <w:marBottom w:val="0"/>
          <w:divBdr>
            <w:top w:val="none" w:sz="0" w:space="0" w:color="auto"/>
            <w:left w:val="none" w:sz="0" w:space="0" w:color="auto"/>
            <w:bottom w:val="none" w:sz="0" w:space="0" w:color="auto"/>
            <w:right w:val="none" w:sz="0" w:space="0" w:color="auto"/>
          </w:divBdr>
          <w:divsChild>
            <w:div w:id="1722973548">
              <w:marLeft w:val="0"/>
              <w:marRight w:val="0"/>
              <w:marTop w:val="0"/>
              <w:marBottom w:val="0"/>
              <w:divBdr>
                <w:top w:val="single" w:sz="6" w:space="31" w:color="BCBCBC"/>
                <w:left w:val="single" w:sz="6" w:space="31" w:color="BCBCBC"/>
                <w:bottom w:val="single" w:sz="6" w:space="15" w:color="BCBCBC"/>
                <w:right w:val="single" w:sz="6" w:space="31" w:color="BCBCBC"/>
              </w:divBdr>
              <w:divsChild>
                <w:div w:id="1606377948">
                  <w:marLeft w:val="0"/>
                  <w:marRight w:val="0"/>
                  <w:marTop w:val="0"/>
                  <w:marBottom w:val="0"/>
                  <w:divBdr>
                    <w:top w:val="none" w:sz="0" w:space="0" w:color="auto"/>
                    <w:left w:val="none" w:sz="0" w:space="0" w:color="auto"/>
                    <w:bottom w:val="none" w:sz="0" w:space="0" w:color="auto"/>
                    <w:right w:val="none" w:sz="0" w:space="0" w:color="auto"/>
                  </w:divBdr>
                  <w:divsChild>
                    <w:div w:id="120613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671</Words>
  <Characters>3831</Characters>
  <Application>Microsoft Office Word</Application>
  <DocSecurity>4</DocSecurity>
  <Lines>31</Lines>
  <Paragraphs>8</Paragraphs>
  <ScaleCrop>false</ScaleCrop>
  <Company>SNNU</Company>
  <LinksUpToDate>false</LinksUpToDate>
  <CharactersWithSpaces>4494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权娟</cp:lastModifiedBy>
  <cp:revision>2</cp:revision>
  <cp:lastPrinted>2019-03-26T08:56:00Z</cp:lastPrinted>
  <dcterms:created xsi:type="dcterms:W3CDTF">2019-03-26T08:59:00Z</dcterms:created>
  <dcterms:modified xsi:type="dcterms:W3CDTF">2019-03-26T08:59:00Z</dcterms:modified>
</cp:coreProperties>
</file>